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Default Extension="fntdata" ContentType="application/x-fontdata"/>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865"/>
      </w:tblGrid>
      <w:tr>
        <w:tc>
          <w:tcPr>
            <w:tcW w:type="dxa" w:w="9865"/>
            <w:shd w:val="clear" w:color="auto" w:fill="35394F"/>
            <w:tcMar>
              <w:top w:w="240" w:type="dxa"/>
              <w:left w:w="0" w:type="dxa"/>
              <w:bottom w:w="240" w:type="dxa"/>
              <w:right w:w="0" w:type="dxa"/>
            </w:tcMar>
          </w:tcPr>
          <w:p>
            <w:pPr>
              <w:spacing w:before="0" w:after="0" w:line="240" w:lineRule="auto"/>
              <w:ind w:left="260" w:right="260"/>
              <w:jc w:val="right"/>
            </w:pPr>
            <w:hyperlink r:id="rId10">
              <w:r>
                <w:drawing>
                  <wp:inline xmlns:a="http://schemas.openxmlformats.org/drawingml/2006/main" xmlns:pic="http://schemas.openxmlformats.org/drawingml/2006/picture">
                    <wp:extent cx="720000" cy="391800"/>
                    <wp:docPr id="1" name="Picture 1" descr="ETHYX — ethyx.eu" title="ETHYX — ethyx.eu"/>
                    <wp:cNvGraphicFramePr>
                      <a:graphicFrameLocks noChangeAspect="1"/>
                    </wp:cNvGraphicFramePr>
                    <a:graphic>
                      <a:graphicData uri="http://schemas.openxmlformats.org/drawingml/2006/picture">
                        <pic:pic>
                          <pic:nvPicPr>
                            <pic:cNvPr id="0" name="logo-lockup.png"/>
                            <pic:cNvPicPr/>
                          </pic:nvPicPr>
                          <pic:blipFill>
                            <a:blip r:embed="rId9"/>
                            <a:stretch>
                              <a:fillRect/>
                            </a:stretch>
                          </pic:blipFill>
                          <pic:spPr>
                            <a:xfrm>
                              <a:off x="0" y="0"/>
                              <a:ext cx="720000" cy="391800"/>
                            </a:xfrm>
                            <a:prstGeom prst="rect"/>
                          </pic:spPr>
                        </pic:pic>
                      </a:graphicData>
                    </a:graphic>
                  </wp:inline>
                </w:drawing>
              </w:r>
            </w:hyperlink>
          </w:p>
          <w:p>
            <w:pPr>
              <w:spacing w:before="0" w:after="0" w:line="240" w:lineRule="exact"/>
              <w:ind w:left="260" w:right="260"/>
            </w:pPr>
          </w:p>
          <w:p>
            <w:pPr>
              <w:spacing w:before="0" w:after="0" w:line="252" w:lineRule="auto"/>
              <w:ind w:left="260" w:right="260"/>
            </w:pPr>
            <w:r>
              <w:rPr>
                <w:rFonts w:ascii="Funnel Display" w:hAnsi="Funnel Display" w:cs="Funnel Display" w:eastAsia="Funnel Display"/>
                <w:b/>
                <w:i w:val="0"/>
                <w:color w:val="FFFFFF"/>
                <w:sz w:val="44"/>
              </w:rPr>
              <w:t>Betreiber-Dokumentationspaket</w:t>
            </w:r>
          </w:p>
          <w:p>
            <w:pPr>
              <w:spacing w:before="100" w:after="0" w:line="276" w:lineRule="auto"/>
              <w:ind w:left="260" w:right="260"/>
            </w:pPr>
            <w:r>
              <w:rPr>
                <w:rFonts w:ascii="Inter" w:hAnsi="Inter" w:cs="Inter" w:eastAsia="Inter"/>
                <w:b w:val="0"/>
                <w:i w:val="0"/>
                <w:color w:val="FFFFFF"/>
                <w:sz w:val="21"/>
              </w:rPr>
              <w:t>EU-KI-Gesetz (Verordnung 2024/1689) · Formulare Art. 4, 26, 27 &amp; 50 für Betreiber · DE</w:t>
            </w:r>
          </w:p>
          <w:p>
            <w:pPr>
              <w:spacing w:before="140" w:after="0" w:line="288" w:lineRule="auto"/>
              <w:ind w:left="260" w:right="260"/>
            </w:pPr>
            <w:r>
              <w:rPr>
                <w:rFonts w:ascii="Inter" w:hAnsi="Inter" w:cs="Inter" w:eastAsia="Inter"/>
                <w:b w:val="0"/>
                <w:i w:val="0"/>
                <w:color w:val="E5E7EB"/>
                <w:sz w:val="15"/>
              </w:rPr>
              <w:t>Rechtlich geprüft von einem zertifizierten Datenschutzbeauftragten (CIPP/E) · Bereitgestellt von ETHYX · Version 1.1 · Juli 2026</w:t>
            </w:r>
          </w:p>
        </w:tc>
      </w:tr>
    </w:tbl>
    <w:p>
      <w:pPr>
        <w:shd w:val="clear" w:color="auto" w:fill="E34663"/>
        <w:spacing w:before="0" w:after="200" w:line="60" w:lineRule="exact"/>
      </w:pPr>
    </w:p>
    <w:p>
      <w:pPr>
        <w:spacing w:before="0" w:after="0" w:line="12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ANLEITUNG  </w:t>
            </w:r>
            <w:r>
              <w:rPr>
                <w:rFonts w:ascii="Inter" w:hAnsi="Inter" w:cs="Inter" w:eastAsia="Inter"/>
                <w:b w:val="0"/>
                <w:i w:val="0"/>
                <w:color w:val="35394F"/>
                <w:sz w:val="16"/>
              </w:rPr>
              <w:t>Verwenden Sie dieses Paket, wenn Sie ein KI-System einsetzen – insbesondere ein Hochrisikosystem (Art. 6 + Anhang III). Füllen Sie Formular 1 für jedes KI-System aus. Füllen Sie Formulare 2–4 für Hochrisikosysteme aus. Formular 5 (Art. 50 Transparenz) gilt für jedes System, das unter Art. 50 fällt (Chatbots, synthetische Inhalte, Emotionserkennung). Löschen Sie diesen Anleitungskasten vor der Fertigstellung. Lassen Sie das ausgefüllte Paket von einem zertifizierten Datenschutzbeauftragten oder qualifiziertem Anwalt prüfen.</w:t>
            </w:r>
          </w:p>
        </w:tc>
      </w:tr>
    </w:tbl>
    <w:p>
      <w:pPr>
        <w:spacing w:before="0" w:after="0" w:line="12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Formular 1 – KI-Kompetenz-Schulungsnachweis (Art. 4 EU-KI-Gesetz)</w:t>
      </w:r>
    </w:p>
    <w:p>
      <w:pPr>
        <w:spacing w:before="0" w:after="120" w:line="324" w:lineRule="auto"/>
        <w:ind w:left="260" w:right="260"/>
      </w:pPr>
      <w:r>
        <w:rPr>
          <w:rFonts w:ascii="Inter" w:hAnsi="Inter" w:cs="Inter" w:eastAsia="Inter"/>
          <w:b w:val="0"/>
          <w:i w:val="0"/>
          <w:color w:val="35394F"/>
          <w:sz w:val="20"/>
        </w:rPr>
        <w:t>Art. 4 EU-KI-Gesetz verpflichtet Betreiber sicherzustellen, dass Mitarbeitende, die mit KI-Systemen arbeiten, über ausreichende KI-Kompetenz verfügen – Verständnis von Fähigkeiten, Grenzen und relevanten Risiken für ihre Rolle. Füllen Sie dieses Formular für jede Schulungssitzung oder individuelle Einführung aus.</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ANLEITUNG  </w:t>
            </w:r>
            <w:r>
              <w:rPr>
                <w:rFonts w:ascii="Inter" w:hAnsi="Inter" w:cs="Inter" w:eastAsia="Inter"/>
                <w:b w:val="0"/>
                <w:i w:val="0"/>
                <w:color w:val="35394F"/>
                <w:sz w:val="16"/>
              </w:rPr>
              <w:t>Mindestinhalt: welche KI-Systeme die Organisation einsetzt, ihre Risikoeinstufung, die Pflichten der Mitarbeitenden (Bedenken melden, menschliche Aufsicht anwenden, Schutzmaßnahmen nicht umgehen) und was bei unerwartetem Systemverhalten zu tun ist. Nicht alle Mitarbeitenden müssen auf Expertenniveau geschult werden – die Tiefe sollte dem Grad ihrer Beteiligung an jedem KI-System entsprechen.</w:t>
            </w:r>
          </w:p>
        </w:tc>
      </w:tr>
    </w:tbl>
    <w:p>
      <w:pPr>
        <w:spacing w:before="0" w:after="0" w:line="120" w:lineRule="exact"/>
      </w:pPr>
    </w:p>
    <w:p>
      <w:pPr>
        <w:keepNext w:val="1"/>
        <w:keepLines w:val="1"/>
        <w:spacing w:before="180" w:after="60" w:line="276" w:lineRule="auto"/>
        <w:ind w:left="260" w:right="260"/>
      </w:pPr>
      <w:r>
        <w:rPr>
          <w:rFonts w:ascii="Funnel Display" w:hAnsi="Funnel Display" w:cs="Funnel Display" w:eastAsia="Funnel Display"/>
          <w:b/>
          <w:i w:val="0"/>
          <w:color w:val="35394F"/>
          <w:sz w:val="21"/>
        </w:rPr>
        <w:t>Details der Schulungssitzung</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Schulungsdatum:</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Trainer / verantwortliche Person:</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Schulungsformat:  (z. B. Workshop, E-Learning, Briefing, Onboarding-Sitzung)</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In der Schulung behandelte KI-Systeme:  (Systemnamen aus KI-System-Inventar auflisten)</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Dauer:  (z. B. 60 Minuten)</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p>
      <w:pPr>
        <w:keepNext w:val="1"/>
        <w:keepLines w:val="1"/>
        <w:spacing w:before="180" w:after="60" w:line="276" w:lineRule="auto"/>
        <w:ind w:left="260" w:right="260"/>
      </w:pPr>
      <w:r>
        <w:rPr>
          <w:rFonts w:ascii="Funnel Display" w:hAnsi="Funnel Display" w:cs="Funnel Display" w:eastAsia="Funnel Display"/>
          <w:b/>
          <w:i w:val="0"/>
          <w:color w:val="35394F"/>
          <w:sz w:val="21"/>
        </w:rPr>
        <w:t>Behandelte Themen</w:t>
      </w:r>
    </w:p>
    <w:p>
      <w:pPr>
        <w:spacing w:before="0" w:after="60" w:line="324" w:lineRule="auto"/>
        <w:ind w:left="543" w:hanging="283" w:right="260"/>
      </w:pPr>
      <w:r>
        <w:rPr>
          <w:rFonts w:ascii="Inter" w:hAnsi="Inter" w:cs="Inter" w:eastAsia="Inter"/>
          <w:b/>
          <w:i w:val="0"/>
          <w:color w:val="35394F"/>
          <w:sz w:val="20"/>
        </w:rPr>
        <w:t>☐</w:t>
        <w:tab/>
      </w:r>
      <w:r>
        <w:rPr>
          <w:rFonts w:ascii="Inter" w:hAnsi="Inter" w:cs="Inter" w:eastAsia="Inter"/>
          <w:b w:val="0"/>
          <w:i w:val="0"/>
          <w:color w:val="35394F"/>
          <w:sz w:val="20"/>
        </w:rPr>
        <w:t>Was ist KI – Definition gemäß EU-KI-Gesetz (Art. 3(1)) und Beispiele in unserer Organisation.</w:t>
      </w:r>
    </w:p>
    <w:p>
      <w:pPr>
        <w:spacing w:before="0" w:after="60" w:line="324" w:lineRule="auto"/>
        <w:ind w:left="543" w:hanging="283" w:right="260"/>
      </w:pPr>
      <w:r>
        <w:rPr>
          <w:rFonts w:ascii="Inter" w:hAnsi="Inter" w:cs="Inter" w:eastAsia="Inter"/>
          <w:b/>
          <w:i w:val="0"/>
          <w:color w:val="35394F"/>
          <w:sz w:val="20"/>
        </w:rPr>
        <w:t>☐</w:t>
        <w:tab/>
      </w:r>
      <w:r>
        <w:rPr>
          <w:rFonts w:ascii="Inter" w:hAnsi="Inter" w:cs="Inter" w:eastAsia="Inter"/>
          <w:b w:val="0"/>
          <w:i w:val="0"/>
          <w:color w:val="35394F"/>
          <w:sz w:val="20"/>
        </w:rPr>
        <w:t>Risikoeinstufung jedes von uns genutzten Systems – verboten / hohes Risiko / begrenzt / minimal.</w:t>
      </w:r>
    </w:p>
    <w:p>
      <w:pPr>
        <w:spacing w:before="0" w:after="60" w:line="324" w:lineRule="auto"/>
        <w:ind w:left="543" w:hanging="283" w:right="260"/>
      </w:pPr>
      <w:r>
        <w:rPr>
          <w:rFonts w:ascii="Inter" w:hAnsi="Inter" w:cs="Inter" w:eastAsia="Inter"/>
          <w:b/>
          <w:i w:val="0"/>
          <w:color w:val="35394F"/>
          <w:sz w:val="20"/>
        </w:rPr>
        <w:t>☐</w:t>
        <w:tab/>
      </w:r>
      <w:r>
        <w:rPr>
          <w:rFonts w:ascii="Inter" w:hAnsi="Inter" w:cs="Inter" w:eastAsia="Inter"/>
          <w:b w:val="0"/>
          <w:i w:val="0"/>
          <w:color w:val="35394F"/>
          <w:sz w:val="20"/>
        </w:rPr>
        <w:t>Betreiberpflichten: menschliche Aufsicht, bestimmungsgemäße Verwendung, Eskalationsverfahren.</w:t>
      </w:r>
    </w:p>
    <w:p>
      <w:pPr>
        <w:spacing w:before="0" w:after="60" w:line="324" w:lineRule="auto"/>
        <w:ind w:left="543" w:hanging="283" w:right="260"/>
      </w:pPr>
      <w:r>
        <w:rPr>
          <w:rFonts w:ascii="Inter" w:hAnsi="Inter" w:cs="Inter" w:eastAsia="Inter"/>
          <w:b/>
          <w:i w:val="0"/>
          <w:color w:val="35394F"/>
          <w:sz w:val="20"/>
        </w:rPr>
        <w:t>☐</w:t>
        <w:tab/>
      </w:r>
      <w:r>
        <w:rPr>
          <w:rFonts w:ascii="Inter" w:hAnsi="Inter" w:cs="Inter" w:eastAsia="Inter"/>
          <w:b w:val="0"/>
          <w:i w:val="0"/>
          <w:color w:val="35394F"/>
          <w:sz w:val="20"/>
        </w:rPr>
        <w:t>Art. 50 Transparenz: wann KI-Nutzung gegenüber Dritten offenzulegen ist.</w:t>
      </w:r>
    </w:p>
    <w:p>
      <w:pPr>
        <w:spacing w:before="0" w:after="60" w:line="324" w:lineRule="auto"/>
        <w:ind w:left="543" w:hanging="283" w:right="260"/>
      </w:pPr>
      <w:r>
        <w:rPr>
          <w:rFonts w:ascii="Inter" w:hAnsi="Inter" w:cs="Inter" w:eastAsia="Inter"/>
          <w:b/>
          <w:i w:val="0"/>
          <w:color w:val="35394F"/>
          <w:sz w:val="20"/>
        </w:rPr>
        <w:t>☐</w:t>
        <w:tab/>
      </w:r>
      <w:r>
        <w:rPr>
          <w:rFonts w:ascii="Inter" w:hAnsi="Inter" w:cs="Inter" w:eastAsia="Inter"/>
          <w:b w:val="0"/>
          <w:i w:val="0"/>
          <w:color w:val="35394F"/>
          <w:sz w:val="20"/>
        </w:rPr>
        <w:t>Datenschutzregeln relevant für KI-Tool-Nutzung (DSGVO).</w:t>
      </w:r>
    </w:p>
    <w:p>
      <w:pPr>
        <w:spacing w:before="0" w:after="60" w:line="324" w:lineRule="auto"/>
        <w:ind w:left="543" w:hanging="283" w:right="260"/>
      </w:pPr>
      <w:r>
        <w:rPr>
          <w:rFonts w:ascii="Inter" w:hAnsi="Inter" w:cs="Inter" w:eastAsia="Inter"/>
          <w:b/>
          <w:i w:val="0"/>
          <w:color w:val="35394F"/>
          <w:sz w:val="20"/>
        </w:rPr>
        <w:t>☐</w:t>
        <w:tab/>
      </w:r>
      <w:r>
        <w:rPr>
          <w:rFonts w:ascii="Inter" w:hAnsi="Inter" w:cs="Inter" w:eastAsia="Inter"/>
          <w:b w:val="0"/>
          <w:i w:val="0"/>
          <w:color w:val="35394F"/>
          <w:sz w:val="20"/>
        </w:rPr>
        <w:t>Wie Bedenken oder unerwartetes KI-Verhalten zu melden sind.</w:t>
      </w:r>
    </w:p>
    <w:p>
      <w:pPr>
        <w:spacing w:before="0" w:after="60" w:line="324" w:lineRule="auto"/>
        <w:ind w:left="543" w:hanging="283" w:right="260"/>
      </w:pPr>
      <w:r>
        <w:rPr>
          <w:rFonts w:ascii="Inter" w:hAnsi="Inter" w:cs="Inter" w:eastAsia="Inter"/>
          <w:b/>
          <w:i w:val="0"/>
          <w:color w:val="35394F"/>
          <w:sz w:val="20"/>
        </w:rPr>
        <w:t>☐</w:t>
        <w:tab/>
      </w:r>
      <w:r>
        <w:rPr>
          <w:rFonts w:ascii="Inter" w:hAnsi="Inter" w:cs="Inter" w:eastAsia="Inter"/>
          <w:b w:val="0"/>
          <w:i w:val="0"/>
          <w:color w:val="35394F"/>
          <w:sz w:val="20"/>
        </w:rPr>
        <w:t>Unsere KI-Nutzungsrichtlinie – was erlaubt und was nicht erlaubt ist.</w:t>
      </w:r>
    </w:p>
    <w:p>
      <w:pPr>
        <w:spacing w:before="0" w:after="0" w:line="80" w:lineRule="exact"/>
      </w:pPr>
    </w:p>
    <w:p>
      <w:pPr>
        <w:keepNext w:val="1"/>
        <w:keepLines w:val="1"/>
        <w:spacing w:before="180" w:after="60" w:line="276" w:lineRule="auto"/>
        <w:ind w:left="260" w:right="260"/>
      </w:pPr>
      <w:r>
        <w:rPr>
          <w:rFonts w:ascii="Funnel Display" w:hAnsi="Funnel Display" w:cs="Funnel Display" w:eastAsia="Funnel Display"/>
          <w:b/>
          <w:i w:val="0"/>
          <w:color w:val="35394F"/>
          <w:sz w:val="21"/>
        </w:rPr>
        <w:t>Teilnehmerprotokoll</w:t>
      </w:r>
    </w:p>
    <w:p>
      <w:pPr>
        <w:spacing w:before="0" w:after="120" w:line="324" w:lineRule="auto"/>
        <w:ind w:left="260" w:right="260"/>
      </w:pPr>
      <w:r>
        <w:rPr>
          <w:rFonts w:ascii="Inter" w:hAnsi="Inter" w:cs="Inter" w:eastAsia="Inter"/>
          <w:b w:val="0"/>
          <w:i w:val="0"/>
          <w:color w:val="35394F"/>
          <w:sz w:val="20"/>
        </w:rPr>
        <w:t>Alle Teilnehmenden dieser Schulungssitzung auflisten.</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2223"/>
        <w:gridCol w:w="2549"/>
        <w:gridCol w:w="2884"/>
        <w:gridCol w:w="2208"/>
      </w:tblGrid>
      <w:tr>
        <w:trPr>
          <w:cantSplit w:val="1"/>
          <w:tblHeader w:val="1"/>
        </w:trPr>
        <w:tc>
          <w:tcPr>
            <w:tcW w:type="dxa" w:w="2223"/>
            <w:shd w:val="clear" w:color="auto" w:fill="35394F"/>
            <w:tcMar>
              <w:top w:w="70" w:type="dxa"/>
              <w:left w:w="0" w:type="dxa"/>
              <w:bottom w:w="70" w:type="dxa"/>
              <w:right w:w="120" w:type="dxa"/>
            </w:tcMar>
            <w:vAlign w:val="center"/>
          </w:tcPr>
          <w:p>
            <w:pPr>
              <w:spacing w:before="0" w:after="0" w:line="240" w:lineRule="auto"/>
              <w:ind w:left="260" w:right="0"/>
            </w:pPr>
            <w:r>
              <w:rPr>
                <w:rFonts w:ascii="Inter" w:hAnsi="Inter" w:cs="Inter" w:eastAsia="Inter"/>
                <w:b/>
                <w:i w:val="0"/>
                <w:caps w:val="1"/>
                <w:color w:val="FFFFFF"/>
                <w:spacing w:val="8"/>
                <w:sz w:val="15"/>
              </w:rPr>
              <w:t>Name</w:t>
            </w:r>
          </w:p>
        </w:tc>
        <w:tc>
          <w:tcPr>
            <w:tcW w:type="dxa" w:w="2549"/>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Abteilung / Rolle</w:t>
            </w:r>
          </w:p>
        </w:tc>
        <w:tc>
          <w:tcPr>
            <w:tcW w:type="dxa" w:w="2884"/>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Unterschrift</w:t>
            </w:r>
          </w:p>
        </w:tc>
        <w:tc>
          <w:tcPr>
            <w:tcW w:type="dxa" w:w="2208"/>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Datum</w:t>
            </w:r>
          </w:p>
        </w:tc>
      </w:tr>
      <w:tr>
        <w:trPr>
          <w:cantSplit w:val="1"/>
        </w:trPr>
        <w:tc>
          <w:tcPr>
            <w:tcW w:type="dxa" w:w="2223"/>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p>
        </w:tc>
        <w:tc>
          <w:tcPr>
            <w:tcW w:type="dxa" w:w="2549"/>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2884"/>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2208"/>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r>
      <w:tr>
        <w:trPr>
          <w:cantSplit w:val="1"/>
        </w:trPr>
        <w:tc>
          <w:tcPr>
            <w:tcW w:type="dxa" w:w="2223"/>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p>
        </w:tc>
        <w:tc>
          <w:tcPr>
            <w:tcW w:type="dxa" w:w="2549"/>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2884"/>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2208"/>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r>
      <w:tr>
        <w:trPr>
          <w:cantSplit w:val="1"/>
        </w:trPr>
        <w:tc>
          <w:tcPr>
            <w:tcW w:type="dxa" w:w="2223"/>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p>
        </w:tc>
        <w:tc>
          <w:tcPr>
            <w:tcW w:type="dxa" w:w="2549"/>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2884"/>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2208"/>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r>
      <w:tr>
        <w:trPr>
          <w:cantSplit w:val="1"/>
        </w:trPr>
        <w:tc>
          <w:tcPr>
            <w:tcW w:type="dxa" w:w="2223"/>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p>
        </w:tc>
        <w:tc>
          <w:tcPr>
            <w:tcW w:type="dxa" w:w="2549"/>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2884"/>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2208"/>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r>
      <w:tr>
        <w:trPr>
          <w:cantSplit w:val="1"/>
        </w:trPr>
        <w:tc>
          <w:tcPr>
            <w:tcW w:type="dxa" w:w="2223"/>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p>
        </w:tc>
        <w:tc>
          <w:tcPr>
            <w:tcW w:type="dxa" w:w="2549"/>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2884"/>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2208"/>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r>
      <w:tr>
        <w:trPr>
          <w:cantSplit w:val="1"/>
        </w:trPr>
        <w:tc>
          <w:tcPr>
            <w:tcW w:type="dxa" w:w="2223"/>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p>
        </w:tc>
        <w:tc>
          <w:tcPr>
            <w:tcW w:type="dxa" w:w="2549"/>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2884"/>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2208"/>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r>
      <w:tr>
        <w:trPr>
          <w:cantSplit w:val="1"/>
        </w:trPr>
        <w:tc>
          <w:tcPr>
            <w:tcW w:type="dxa" w:w="2223"/>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p>
        </w:tc>
        <w:tc>
          <w:tcPr>
            <w:tcW w:type="dxa" w:w="2549"/>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2884"/>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2208"/>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r>
    </w:tbl>
    <w:p>
      <w:pPr>
        <w:spacing w:before="0" w:after="0" w:line="160" w:lineRule="exact"/>
      </w:pPr>
    </w:p>
    <w:p>
      <w:pPr>
        <w:spacing w:before="0" w:after="120" w:line="324" w:lineRule="auto"/>
        <w:ind w:left="260" w:right="260"/>
      </w:pPr>
      <w:r>
        <w:rPr>
          <w:rFonts w:ascii="Inter" w:hAnsi="Inter" w:cs="Inter" w:eastAsia="Inter"/>
          <w:b w:val="0"/>
          <w:i w:val="0"/>
          <w:color w:val="35394F"/>
          <w:sz w:val="20"/>
        </w:rPr>
        <w:t>☐  Weitere Teilnehmende auf beigefügtem gesondertem Blatt aufgeführt</w:t>
      </w: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Formular 2 – Betreiberpflichten-Nachweis (Art. 26 EU-KI-Gesetz)</w:t>
      </w:r>
    </w:p>
    <w:p>
      <w:pPr>
        <w:spacing w:before="0" w:after="120" w:line="324" w:lineRule="auto"/>
        <w:ind w:left="260" w:right="260"/>
      </w:pPr>
      <w:r>
        <w:rPr>
          <w:rFonts w:ascii="Inter" w:hAnsi="Inter" w:cs="Inter" w:eastAsia="Inter"/>
          <w:b w:val="0"/>
          <w:i w:val="0"/>
          <w:color w:val="35394F"/>
          <w:sz w:val="20"/>
        </w:rPr>
        <w:t>Füllen Sie eine Kopie dieses Formulars pro eingesetztem Hochrisiko-KI-System aus. Art. 26 gilt, wenn Sie ein Hochrisiko-KI-System (Anhang III) gemäß Art. 6 einsetzen. Bewahren Sie dieses Formular mit Ihrer KI-Dokumentation auf und stellen Sie es Aufsichtsbehörden auf Anfrage zur Verfügung.</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ANLEITUNG  </w:t>
            </w:r>
            <w:r>
              <w:rPr>
                <w:rFonts w:ascii="Inter" w:hAnsi="Inter" w:cs="Inter" w:eastAsia="Inter"/>
                <w:b w:val="0"/>
                <w:i w:val="0"/>
                <w:color w:val="35394F"/>
                <w:sz w:val="16"/>
              </w:rPr>
              <w:t>Betreiber ≠ Anbieter. Sie sind Betreiber, wenn Sie ein KI-System eines Drittanbieters in einem beruflichen Kontext einsetzen. Hauptpflicht: System nur für seinen bestimmungsgemäßen Zweck verwenden, menschliche Aufsicht implementieren, Protokolle führen (soweit technisch möglich), schwerwiegende Vorfälle melden und mit Anbieter und Behörden kooperieren.</w:t>
            </w:r>
          </w:p>
        </w:tc>
      </w:tr>
    </w:tbl>
    <w:p>
      <w:pPr>
        <w:spacing w:before="0" w:after="0" w:line="120" w:lineRule="exact"/>
      </w:pPr>
    </w:p>
    <w:p>
      <w:pPr>
        <w:keepNext w:val="1"/>
        <w:keepLines w:val="1"/>
        <w:spacing w:before="180" w:after="60" w:line="276" w:lineRule="auto"/>
        <w:ind w:left="260" w:right="260"/>
      </w:pPr>
      <w:r>
        <w:rPr>
          <w:rFonts w:ascii="Funnel Display" w:hAnsi="Funnel Display" w:cs="Funnel Display" w:eastAsia="Funnel Display"/>
          <w:b/>
          <w:i w:val="0"/>
          <w:color w:val="35394F"/>
          <w:sz w:val="21"/>
        </w:rPr>
        <w:t>Systemidentifikation</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Systemname:  (Aus KI-System-Inventar)</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Anbieter / Hersteller:  (Unternehmensname und Land)</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Bestimmungsgemäßer Zweck (laut Anbieterdokumentation):</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KI-System-Inventar-ID:  (z. B. KI-003)</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Risikoeinstufung:  (Hohes Risiko – Anhang-III-Kategorie: ___)</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Datum der ersten Nutzung in der Organisation:</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p>
      <w:pPr>
        <w:keepNext w:val="1"/>
        <w:keepLines w:val="1"/>
        <w:spacing w:before="180" w:after="60" w:line="276" w:lineRule="auto"/>
        <w:ind w:left="260" w:right="260"/>
      </w:pPr>
      <w:r>
        <w:rPr>
          <w:rFonts w:ascii="Funnel Display" w:hAnsi="Funnel Display" w:cs="Funnel Display" w:eastAsia="Funnel Display"/>
          <w:b/>
          <w:i w:val="0"/>
          <w:color w:val="35394F"/>
          <w:sz w:val="21"/>
        </w:rPr>
        <w:t>Art. 26-Pflichten – Compliance-Status</w:t>
      </w:r>
    </w:p>
    <w:p>
      <w:pPr>
        <w:spacing w:before="0" w:after="120" w:line="324" w:lineRule="auto"/>
        <w:ind w:left="260" w:right="260"/>
      </w:pPr>
      <w:r>
        <w:rPr>
          <w:rFonts w:ascii="Inter" w:hAnsi="Inter" w:cs="Inter" w:eastAsia="Inter"/>
          <w:b w:val="0"/>
          <w:i w:val="0"/>
          <w:color w:val="35394F"/>
          <w:sz w:val="20"/>
        </w:rPr>
        <w:t>☐  System nur für seinen bestimmungsgemäßen Zweck und gemäß Gebrauchsanweisung einsetzen.</w:t>
      </w:r>
    </w:p>
    <w:p>
      <w:pPr>
        <w:spacing w:before="0" w:after="120" w:line="324" w:lineRule="auto"/>
        <w:ind w:left="260" w:right="260"/>
      </w:pPr>
      <w:r>
        <w:rPr>
          <w:rFonts w:ascii="Inter" w:hAnsi="Inter" w:cs="Inter" w:eastAsia="Inter"/>
          <w:b w:val="0"/>
          <w:i w:val="0"/>
          <w:color w:val="35394F"/>
          <w:sz w:val="20"/>
        </w:rPr>
        <w:t>☐  Anbieter informieren, wenn bekannt wird, dass das System ein Risiko darstellt (Art. 26(5)).</w:t>
      </w:r>
    </w:p>
    <w:p>
      <w:pPr>
        <w:spacing w:before="0" w:after="120" w:line="324" w:lineRule="auto"/>
        <w:ind w:left="260" w:right="260"/>
      </w:pPr>
      <w:r>
        <w:rPr>
          <w:rFonts w:ascii="Inter" w:hAnsi="Inter" w:cs="Inter" w:eastAsia="Inter"/>
          <w:b w:val="0"/>
          <w:i w:val="0"/>
          <w:color w:val="35394F"/>
          <w:sz w:val="20"/>
        </w:rPr>
        <w:t>☐  Angemessene Maßnahmen zur menschlichen Aufsicht anwenden – Mensch überprüft Entscheidungen, bevor sie Einzelpersonen betreffen.  (Aufsichtsmechanismus unten beschreiben.)</w:t>
      </w:r>
    </w:p>
    <w:p>
      <w:pPr>
        <w:spacing w:before="0" w:after="120" w:line="324" w:lineRule="auto"/>
        <w:ind w:left="260" w:right="260"/>
      </w:pPr>
      <w:r>
        <w:rPr>
          <w:rFonts w:ascii="Inter" w:hAnsi="Inter" w:cs="Inter" w:eastAsia="Inter"/>
          <w:b w:val="0"/>
          <w:i w:val="0"/>
          <w:color w:val="35394F"/>
          <w:sz w:val="20"/>
        </w:rPr>
        <w:t>☐  Betriebsprotokolle führen, sofern das System diese Funktionalität bereitstellt (Art. 26(6)).</w:t>
      </w:r>
    </w:p>
    <w:p>
      <w:pPr>
        <w:spacing w:before="0" w:after="120" w:line="324" w:lineRule="auto"/>
        <w:ind w:left="260" w:right="260"/>
      </w:pPr>
      <w:r>
        <w:rPr>
          <w:rFonts w:ascii="Inter" w:hAnsi="Inter" w:cs="Inter" w:eastAsia="Inter"/>
          <w:b w:val="0"/>
          <w:i w:val="0"/>
          <w:color w:val="35394F"/>
          <w:sz w:val="20"/>
        </w:rPr>
        <w:t>☐  System nicht zur Generierung oder Verbreitung von Desinformationen verwenden.</w:t>
      </w:r>
    </w:p>
    <w:p>
      <w:pPr>
        <w:spacing w:before="0" w:after="120" w:line="324" w:lineRule="auto"/>
        <w:ind w:left="260" w:right="260"/>
      </w:pPr>
      <w:r>
        <w:rPr>
          <w:rFonts w:ascii="Inter" w:hAnsi="Inter" w:cs="Inter" w:eastAsia="Inter"/>
          <w:b w:val="0"/>
          <w:i w:val="0"/>
          <w:color w:val="35394F"/>
          <w:sz w:val="20"/>
        </w:rPr>
        <w:t>☐  Grundrechte-Folgenabschätzung durchführen, sofern erforderlich (Art. 27) – siehe Formular 3.  (Für öffentliche Stellen und bestimmte Betreiber verpflichtend.)</w:t>
      </w:r>
    </w:p>
    <w:p>
      <w:pPr>
        <w:spacing w:before="0" w:after="120" w:line="324" w:lineRule="auto"/>
        <w:ind w:left="260" w:right="260"/>
      </w:pPr>
      <w:r>
        <w:rPr>
          <w:rFonts w:ascii="Inter" w:hAnsi="Inter" w:cs="Inter" w:eastAsia="Inter"/>
          <w:b w:val="0"/>
          <w:i w:val="0"/>
          <w:color w:val="35394F"/>
          <w:sz w:val="20"/>
        </w:rPr>
        <w:t>☐  Sicherstellen, dass Mitarbeitende, die das System nutzen oder überwachen, KI-Kompetenz-Training erhalten haben (Art. 4) – siehe Formular 1.</w:t>
      </w:r>
    </w:p>
    <w:p>
      <w:pPr>
        <w:spacing w:before="0" w:after="120" w:line="324" w:lineRule="auto"/>
        <w:ind w:left="260" w:right="260"/>
      </w:pPr>
      <w:r>
        <w:rPr>
          <w:rFonts w:ascii="Inter" w:hAnsi="Inter" w:cs="Inter" w:eastAsia="Inter"/>
          <w:b w:val="0"/>
          <w:i w:val="0"/>
          <w:color w:val="35394F"/>
          <w:sz w:val="20"/>
        </w:rPr>
        <w:t>☐  Mit Untersuchungen der zuständigen nationalen Behörde auf Anfrage kooperieren.</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Implementierter menschlicher Aufsichtsmechanismus:</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r>
        <w:trPr>
          <w:cantSplit w:val="1"/>
        </w:trPr>
        <w:tc>
          <w:tcPr>
            <w:tcW w:type="dxa" w:w="3551"/>
            <w:tcBorders>
              <w:bottom w:val="single" w:sz="4" w:space="0" w:color="6B7280"/>
            </w:tcBorders>
            <w:shd w:val="clear" w:color="auto" w:fill="F9FAFB"/>
            <w:tcMar>
              <w:top w:w="90" w:type="dxa"/>
              <w:left w:w="0" w:type="dxa"/>
              <w:bottom w:w="90" w:type="dxa"/>
              <w:right w:w="120" w:type="dxa"/>
            </w:tcMar>
            <w:vAlign w:val="top"/>
          </w:tcPr>
          <w:p>
            <w:pPr>
              <w:spacing w:before="0" w:after="0" w:line="300" w:lineRule="auto"/>
              <w:ind w:left="260" w:right="0"/>
            </w:pPr>
          </w:p>
        </w:tc>
        <w:tc>
          <w:tcPr>
            <w:tcW w:type="dxa" w:w="6313"/>
            <w:tcBorders>
              <w:bottom w:val="single" w:sz="2" w:space="0" w:color="E5E7EB"/>
            </w:tcBorders>
            <w:tcMar>
              <w:top w:w="90" w:type="dxa"/>
              <w:left w:w="120" w:type="dxa"/>
              <w:bottom w:w="9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Protokollspeicherort / Aufbewahrungsfrist:</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Für dieses System geschulte Mitarbeitende (Namen/Rollen):</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p>
      <w:pPr>
        <w:keepNext w:val="1"/>
        <w:keepLines w:val="1"/>
        <w:spacing w:before="180" w:after="60" w:line="276" w:lineRule="auto"/>
        <w:ind w:left="260" w:right="260"/>
      </w:pPr>
      <w:r>
        <w:rPr>
          <w:rFonts w:ascii="Funnel Display" w:hAnsi="Funnel Display" w:cs="Funnel Display" w:eastAsia="Funnel Display"/>
          <w:b/>
          <w:i w:val="0"/>
          <w:color w:val="35394F"/>
          <w:sz w:val="21"/>
        </w:rPr>
        <w:t>Vorfalls- und Schwerstrisiko-Meldung</w:t>
      </w:r>
    </w:p>
    <w:p>
      <w:pPr>
        <w:spacing w:before="0" w:after="120" w:line="324" w:lineRule="auto"/>
        <w:ind w:left="260" w:right="260"/>
      </w:pPr>
      <w:r>
        <w:rPr>
          <w:rFonts w:ascii="Inter" w:hAnsi="Inter" w:cs="Inter" w:eastAsia="Inter"/>
          <w:b w:val="0"/>
          <w:i w:val="0"/>
          <w:color w:val="35394F"/>
          <w:sz w:val="20"/>
        </w:rPr>
        <w:t>Hier alle Vorfälle oder schwerwiegenden Fehlfunktionen erfassen. Anbieter und ggf. die nationale Marktüberwachungsbehörde benachrichtigen.</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1668"/>
        <w:gridCol w:w="2221"/>
        <w:gridCol w:w="2152"/>
        <w:gridCol w:w="1911"/>
        <w:gridCol w:w="1911"/>
      </w:tblGrid>
      <w:tr>
        <w:trPr>
          <w:cantSplit w:val="1"/>
          <w:tblHeader w:val="1"/>
        </w:trPr>
        <w:tc>
          <w:tcPr>
            <w:tcW w:type="dxa" w:w="1668"/>
            <w:shd w:val="clear" w:color="auto" w:fill="35394F"/>
            <w:tcMar>
              <w:top w:w="70" w:type="dxa"/>
              <w:left w:w="0" w:type="dxa"/>
              <w:bottom w:w="70" w:type="dxa"/>
              <w:right w:w="120" w:type="dxa"/>
            </w:tcMar>
            <w:vAlign w:val="center"/>
          </w:tcPr>
          <w:p>
            <w:pPr>
              <w:spacing w:before="0" w:after="0" w:line="240" w:lineRule="auto"/>
              <w:ind w:left="260" w:right="0"/>
            </w:pPr>
            <w:r>
              <w:rPr>
                <w:rFonts w:ascii="Inter" w:hAnsi="Inter" w:cs="Inter" w:eastAsia="Inter"/>
                <w:b/>
                <w:i w:val="0"/>
                <w:caps w:val="1"/>
                <w:color w:val="FFFFFF"/>
                <w:spacing w:val="8"/>
                <w:sz w:val="15"/>
              </w:rPr>
              <w:t>Datum</w:t>
            </w:r>
          </w:p>
        </w:tc>
        <w:tc>
          <w:tcPr>
            <w:tcW w:type="dxa" w:w="2221"/>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Beschreibung des Vorfalls / Risikos</w:t>
            </w:r>
          </w:p>
        </w:tc>
        <w:tc>
          <w:tcPr>
            <w:tcW w:type="dxa" w:w="2152"/>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Getroffene Maßnahmen</w:t>
            </w:r>
          </w:p>
        </w:tc>
        <w:tc>
          <w:tcPr>
            <w:tcW w:type="dxa" w:w="1911"/>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An Anbieter gemeldet?</w:t>
            </w:r>
          </w:p>
        </w:tc>
        <w:tc>
          <w:tcPr>
            <w:tcW w:type="dxa" w:w="1911"/>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An Behörde gemeldet?</w:t>
            </w:r>
          </w:p>
        </w:tc>
      </w:tr>
      <w:tr>
        <w:trPr>
          <w:cantSplit w:val="1"/>
        </w:trPr>
        <w:tc>
          <w:tcPr>
            <w:tcW w:type="dxa" w:w="1668"/>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p>
        </w:tc>
        <w:tc>
          <w:tcPr>
            <w:tcW w:type="dxa" w:w="2221"/>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2152"/>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911"/>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911"/>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r>
      <w:tr>
        <w:trPr>
          <w:cantSplit w:val="1"/>
        </w:trPr>
        <w:tc>
          <w:tcPr>
            <w:tcW w:type="dxa" w:w="1668"/>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p>
        </w:tc>
        <w:tc>
          <w:tcPr>
            <w:tcW w:type="dxa" w:w="2221"/>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2152"/>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911"/>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911"/>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r>
      <w:tr>
        <w:trPr>
          <w:cantSplit w:val="1"/>
        </w:trPr>
        <w:tc>
          <w:tcPr>
            <w:tcW w:type="dxa" w:w="1668"/>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p>
        </w:tc>
        <w:tc>
          <w:tcPr>
            <w:tcW w:type="dxa" w:w="2221"/>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2152"/>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911"/>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911"/>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r>
      <w:tr>
        <w:trPr>
          <w:cantSplit w:val="1"/>
        </w:trPr>
        <w:tc>
          <w:tcPr>
            <w:tcW w:type="dxa" w:w="1668"/>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p>
        </w:tc>
        <w:tc>
          <w:tcPr>
            <w:tcW w:type="dxa" w:w="2221"/>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2152"/>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911"/>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911"/>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r>
    </w:tbl>
    <w:p>
      <w:pPr>
        <w:spacing w:before="0" w:after="0" w:line="16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Formular 3 – Grundrechte-Folgenabschätzung (FRIA) (Art. 27 EU-KI-Gesetz)</w:t>
      </w:r>
    </w:p>
    <w:p>
      <w:pPr>
        <w:spacing w:before="0" w:after="120" w:line="324" w:lineRule="auto"/>
        <w:ind w:left="260" w:right="260"/>
      </w:pPr>
      <w:r>
        <w:rPr>
          <w:rFonts w:ascii="Inter" w:hAnsi="Inter" w:cs="Inter" w:eastAsia="Inter"/>
          <w:b w:val="0"/>
          <w:i w:val="0"/>
          <w:color w:val="35394F"/>
          <w:sz w:val="20"/>
        </w:rPr>
        <w:t>Art. 27 verpflichtet bestimmte Betreiber von Hochrisiko-KI-Systemen zur Durchführung einer Grundrechte-Folgenabschätzung vor dem Einsatz. Erforderlich für: öffentliche Stellen; private Einrichtungen, die Systeme einsetzen, die Personen in öffentlichen Diensten, Leistungen oder Strafverfolgung betreffen; Betreiber kritischer Infrastruktur. Bei Unsicherheit, ob Art. 27 zutrifft, qualifizierte Rechtsberatung einholen.</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ANLEITUNG  </w:t>
            </w:r>
            <w:r>
              <w:rPr>
                <w:rFonts w:ascii="Inter" w:hAnsi="Inter" w:cs="Inter" w:eastAsia="Inter"/>
                <w:b w:val="0"/>
                <w:i w:val="0"/>
                <w:color w:val="35394F"/>
                <w:sz w:val="16"/>
              </w:rPr>
              <w:t>Die FRIA ist getrennt von (ergänzt aber) einer DSGVO-DSFA. Sie konzentriert sich auf Grundrechtsauswirkungen über Datenschutz hinaus – Gleichheit, Nichtdiskriminierung, Würde, Meinungsfreiheit, Zugang zur Justiz. Wenn das System auch personenbezogene Daten verarbeitet, kann auch eine DSFA nach Art. 35 DSGVO erforderlich sein.</w:t>
            </w:r>
          </w:p>
        </w:tc>
      </w:tr>
    </w:tbl>
    <w:p>
      <w:pPr>
        <w:spacing w:before="0" w:after="0" w:line="12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Systemname und Inventar-ID:</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Betreiberorganisation:  ([UNTERNEHMENSNAME])</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Abschätzung durchgeführt von:  (Name, Rolle, Datum)</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Einsatzbereich (wer ist betroffen):</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p>
      <w:pPr>
        <w:keepNext w:val="1"/>
        <w:keepLines w:val="1"/>
        <w:spacing w:before="180" w:after="60" w:line="276" w:lineRule="auto"/>
        <w:ind w:left="260" w:right="260"/>
      </w:pPr>
      <w:r>
        <w:rPr>
          <w:rFonts w:ascii="Funnel Display" w:hAnsi="Funnel Display" w:cs="Funnel Display" w:eastAsia="Funnel Display"/>
          <w:b/>
          <w:i w:val="0"/>
          <w:color w:val="35394F"/>
          <w:sz w:val="21"/>
        </w:rPr>
        <w:t>Grundrechte-Screening – welche Rechte könnten betroffen sein?</w:t>
      </w:r>
    </w:p>
    <w:p>
      <w:pPr>
        <w:spacing w:before="0" w:after="60" w:line="324" w:lineRule="auto"/>
        <w:ind w:left="543" w:hanging="283" w:right="260"/>
      </w:pPr>
      <w:r>
        <w:rPr>
          <w:rFonts w:ascii="Inter" w:hAnsi="Inter" w:cs="Inter" w:eastAsia="Inter"/>
          <w:b/>
          <w:i w:val="0"/>
          <w:color w:val="35394F"/>
          <w:sz w:val="20"/>
        </w:rPr>
        <w:t>☐</w:t>
        <w:tab/>
      </w:r>
      <w:r>
        <w:rPr>
          <w:rFonts w:ascii="Inter" w:hAnsi="Inter" w:cs="Inter" w:eastAsia="Inter"/>
          <w:b w:val="0"/>
          <w:i w:val="0"/>
          <w:color w:val="35394F"/>
          <w:sz w:val="20"/>
        </w:rPr>
        <w:t>Potenziell betroffen: Menschenwürde (Art. 1 EU-Grundrechtecharta)</w:t>
      </w:r>
    </w:p>
    <w:p>
      <w:pPr>
        <w:spacing w:before="0" w:after="60" w:line="324" w:lineRule="auto"/>
        <w:ind w:left="543" w:hanging="283" w:right="260"/>
      </w:pPr>
      <w:r>
        <w:rPr>
          <w:rFonts w:ascii="Inter" w:hAnsi="Inter" w:cs="Inter" w:eastAsia="Inter"/>
          <w:b/>
          <w:i w:val="0"/>
          <w:color w:val="35394F"/>
          <w:sz w:val="20"/>
        </w:rPr>
        <w:t>☐</w:t>
        <w:tab/>
      </w:r>
      <w:r>
        <w:rPr>
          <w:rFonts w:ascii="Inter" w:hAnsi="Inter" w:cs="Inter" w:eastAsia="Inter"/>
          <w:b w:val="0"/>
          <w:i w:val="0"/>
          <w:color w:val="35394F"/>
          <w:sz w:val="20"/>
        </w:rPr>
        <w:t>Potenziell betroffen: Recht auf Gleichheit und Nichtdiskriminierung (Art. 21 EU-Grundrechtecharta)  (Hohes Risiko in Beschäftigung, Bildung, Zugang zu Leistungen.)</w:t>
      </w:r>
    </w:p>
    <w:p>
      <w:pPr>
        <w:spacing w:before="0" w:after="60" w:line="324" w:lineRule="auto"/>
        <w:ind w:left="543" w:hanging="283" w:right="260"/>
      </w:pPr>
      <w:r>
        <w:rPr>
          <w:rFonts w:ascii="Inter" w:hAnsi="Inter" w:cs="Inter" w:eastAsia="Inter"/>
          <w:b/>
          <w:i w:val="0"/>
          <w:color w:val="35394F"/>
          <w:sz w:val="20"/>
        </w:rPr>
        <w:t>☐</w:t>
        <w:tab/>
      </w:r>
      <w:r>
        <w:rPr>
          <w:rFonts w:ascii="Inter" w:hAnsi="Inter" w:cs="Inter" w:eastAsia="Inter"/>
          <w:b w:val="0"/>
          <w:i w:val="0"/>
          <w:color w:val="35394F"/>
          <w:sz w:val="20"/>
        </w:rPr>
        <w:t>Potenziell betroffen: Datenschutz und Privatsphäre (Art. 7–8 EU-Grundrechtecharta / DSGVO)</w:t>
      </w:r>
    </w:p>
    <w:p>
      <w:pPr>
        <w:spacing w:before="0" w:after="60" w:line="324" w:lineRule="auto"/>
        <w:ind w:left="543" w:hanging="283" w:right="260"/>
      </w:pPr>
      <w:r>
        <w:rPr>
          <w:rFonts w:ascii="Inter" w:hAnsi="Inter" w:cs="Inter" w:eastAsia="Inter"/>
          <w:b/>
          <w:i w:val="0"/>
          <w:color w:val="35394F"/>
          <w:sz w:val="20"/>
        </w:rPr>
        <w:t>☐</w:t>
        <w:tab/>
      </w:r>
      <w:r>
        <w:rPr>
          <w:rFonts w:ascii="Inter" w:hAnsi="Inter" w:cs="Inter" w:eastAsia="Inter"/>
          <w:b w:val="0"/>
          <w:i w:val="0"/>
          <w:color w:val="35394F"/>
          <w:sz w:val="20"/>
        </w:rPr>
        <w:t>Potenziell betroffen: Meinungs- und Informationsfreiheit (Art. 11 EU-Grundrechtecharta)</w:t>
      </w:r>
    </w:p>
    <w:p>
      <w:pPr>
        <w:spacing w:before="0" w:after="60" w:line="324" w:lineRule="auto"/>
        <w:ind w:left="543" w:hanging="283" w:right="260"/>
      </w:pPr>
      <w:r>
        <w:rPr>
          <w:rFonts w:ascii="Inter" w:hAnsi="Inter" w:cs="Inter" w:eastAsia="Inter"/>
          <w:b/>
          <w:i w:val="0"/>
          <w:color w:val="35394F"/>
          <w:sz w:val="20"/>
        </w:rPr>
        <w:t>☐</w:t>
        <w:tab/>
      </w:r>
      <w:r>
        <w:rPr>
          <w:rFonts w:ascii="Inter" w:hAnsi="Inter" w:cs="Inter" w:eastAsia="Inter"/>
          <w:b w:val="0"/>
          <w:i w:val="0"/>
          <w:color w:val="35394F"/>
          <w:sz w:val="20"/>
        </w:rPr>
        <w:t>Potenziell betroffen: Recht auf wirksamen Rechtsbehelf und faires Verfahren (Art. 47 EU-Grundrechtecharta)  (Relevant in Strafverfolgung / Justiz.)</w:t>
      </w:r>
    </w:p>
    <w:p>
      <w:pPr>
        <w:spacing w:before="0" w:after="60" w:line="324" w:lineRule="auto"/>
        <w:ind w:left="543" w:hanging="283" w:right="260"/>
      </w:pPr>
      <w:r>
        <w:rPr>
          <w:rFonts w:ascii="Inter" w:hAnsi="Inter" w:cs="Inter" w:eastAsia="Inter"/>
          <w:b/>
          <w:i w:val="0"/>
          <w:color w:val="35394F"/>
          <w:sz w:val="20"/>
        </w:rPr>
        <w:t>☐</w:t>
        <w:tab/>
      </w:r>
      <w:r>
        <w:rPr>
          <w:rFonts w:ascii="Inter" w:hAnsi="Inter" w:cs="Inter" w:eastAsia="Inter"/>
          <w:b w:val="0"/>
          <w:i w:val="0"/>
          <w:color w:val="35394F"/>
          <w:sz w:val="20"/>
        </w:rPr>
        <w:t>Potenziell betroffen: Recht auf Arbeit und Berufsfreiheit (Art. 15 EU-Grundrechtecharta)  (Relevant bei Einstellung / Leistungsmanagement.)</w:t>
      </w:r>
    </w:p>
    <w:p>
      <w:pPr>
        <w:spacing w:before="0" w:after="60" w:line="324" w:lineRule="auto"/>
        <w:ind w:left="543" w:hanging="283" w:right="260"/>
      </w:pPr>
      <w:r>
        <w:rPr>
          <w:rFonts w:ascii="Inter" w:hAnsi="Inter" w:cs="Inter" w:eastAsia="Inter"/>
          <w:b/>
          <w:i w:val="0"/>
          <w:color w:val="35394F"/>
          <w:sz w:val="20"/>
        </w:rPr>
        <w:t>☐</w:t>
        <w:tab/>
      </w:r>
      <w:r>
        <w:rPr>
          <w:rFonts w:ascii="Inter" w:hAnsi="Inter" w:cs="Inter" w:eastAsia="Inter"/>
          <w:b w:val="0"/>
          <w:i w:val="0"/>
          <w:color w:val="35394F"/>
          <w:sz w:val="20"/>
        </w:rPr>
        <w:t>Potenziell betroffen: Verbraucherschutzrechte</w:t>
      </w:r>
    </w:p>
    <w:p>
      <w:pPr>
        <w:spacing w:before="0" w:after="0" w:line="80" w:lineRule="exact"/>
      </w:pPr>
    </w:p>
    <w:p>
      <w:pPr>
        <w:keepNext w:val="1"/>
        <w:keepLines w:val="1"/>
        <w:spacing w:before="180" w:after="60" w:line="276" w:lineRule="auto"/>
        <w:ind w:left="260" w:right="260"/>
      </w:pPr>
      <w:r>
        <w:rPr>
          <w:rFonts w:ascii="Funnel Display" w:hAnsi="Funnel Display" w:cs="Funnel Display" w:eastAsia="Funnel Display"/>
          <w:b/>
          <w:i w:val="0"/>
          <w:color w:val="35394F"/>
          <w:sz w:val="21"/>
        </w:rPr>
        <w:t>Folgenabschätzung und Abhilfemaßnahmen</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1607"/>
        <w:gridCol w:w="1582"/>
        <w:gridCol w:w="2210"/>
        <w:gridCol w:w="1101"/>
        <w:gridCol w:w="2100"/>
        <w:gridCol w:w="1265"/>
      </w:tblGrid>
      <w:tr>
        <w:trPr>
          <w:cantSplit w:val="1"/>
          <w:tblHeader w:val="1"/>
        </w:trPr>
        <w:tc>
          <w:tcPr>
            <w:tcW w:type="dxa" w:w="1607"/>
            <w:shd w:val="clear" w:color="auto" w:fill="35394F"/>
            <w:tcMar>
              <w:top w:w="70" w:type="dxa"/>
              <w:left w:w="0" w:type="dxa"/>
              <w:bottom w:w="70" w:type="dxa"/>
              <w:right w:w="120" w:type="dxa"/>
            </w:tcMar>
            <w:vAlign w:val="center"/>
          </w:tcPr>
          <w:p>
            <w:pPr>
              <w:spacing w:before="0" w:after="0" w:line="240" w:lineRule="auto"/>
              <w:ind w:left="260" w:right="0"/>
            </w:pPr>
            <w:r>
              <w:rPr>
                <w:rFonts w:ascii="Inter" w:hAnsi="Inter" w:cs="Inter" w:eastAsia="Inter"/>
                <w:b/>
                <w:i w:val="0"/>
                <w:caps w:val="1"/>
                <w:color w:val="FFFFFF"/>
                <w:spacing w:val="8"/>
                <w:sz w:val="15"/>
              </w:rPr>
              <w:t>Betroffenes Grundrecht</w:t>
            </w:r>
          </w:p>
        </w:tc>
        <w:tc>
          <w:tcPr>
            <w:tcW w:type="dxa" w:w="1582"/>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Beschreibung potenzieller Auswirkung</w:t>
            </w:r>
          </w:p>
        </w:tc>
        <w:tc>
          <w:tcPr>
            <w:tcW w:type="dxa" w:w="2210"/>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Wahrscheinlichkeit (H/M/N)</w:t>
            </w:r>
          </w:p>
        </w:tc>
        <w:tc>
          <w:tcPr>
            <w:tcW w:type="dxa" w:w="1101"/>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Schwere (H/M/N)</w:t>
            </w:r>
          </w:p>
        </w:tc>
        <w:tc>
          <w:tcPr>
            <w:tcW w:type="dxa" w:w="2100"/>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Abhilfemaßnahme</w:t>
            </w:r>
          </w:p>
        </w:tc>
        <w:tc>
          <w:tcPr>
            <w:tcW w:type="dxa" w:w="1265"/>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Restrisiko</w:t>
            </w:r>
          </w:p>
        </w:tc>
      </w:tr>
      <w:tr>
        <w:trPr>
          <w:cantSplit w:val="1"/>
        </w:trPr>
        <w:tc>
          <w:tcPr>
            <w:tcW w:type="dxa" w:w="1607"/>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p>
        </w:tc>
        <w:tc>
          <w:tcPr>
            <w:tcW w:type="dxa" w:w="1582"/>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2210"/>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101"/>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2100"/>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265"/>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r>
      <w:tr>
        <w:trPr>
          <w:cantSplit w:val="1"/>
        </w:trPr>
        <w:tc>
          <w:tcPr>
            <w:tcW w:type="dxa" w:w="1607"/>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p>
        </w:tc>
        <w:tc>
          <w:tcPr>
            <w:tcW w:type="dxa" w:w="1582"/>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2210"/>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101"/>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2100"/>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265"/>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r>
      <w:tr>
        <w:trPr>
          <w:cantSplit w:val="1"/>
        </w:trPr>
        <w:tc>
          <w:tcPr>
            <w:tcW w:type="dxa" w:w="1607"/>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p>
        </w:tc>
        <w:tc>
          <w:tcPr>
            <w:tcW w:type="dxa" w:w="1582"/>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2210"/>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101"/>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2100"/>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265"/>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r>
      <w:tr>
        <w:trPr>
          <w:cantSplit w:val="1"/>
        </w:trPr>
        <w:tc>
          <w:tcPr>
            <w:tcW w:type="dxa" w:w="1607"/>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p>
        </w:tc>
        <w:tc>
          <w:tcPr>
            <w:tcW w:type="dxa" w:w="1582"/>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2210"/>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101"/>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2100"/>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265"/>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Gesamtfazit der FRIA:</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r>
        <w:trPr>
          <w:cantSplit w:val="1"/>
        </w:trPr>
        <w:tc>
          <w:tcPr>
            <w:tcW w:type="dxa" w:w="3551"/>
            <w:tcBorders>
              <w:bottom w:val="single" w:sz="4" w:space="0" w:color="6B7280"/>
            </w:tcBorders>
            <w:shd w:val="clear" w:color="auto" w:fill="F9FAFB"/>
            <w:tcMar>
              <w:top w:w="90" w:type="dxa"/>
              <w:left w:w="0" w:type="dxa"/>
              <w:bottom w:w="90" w:type="dxa"/>
              <w:right w:w="120" w:type="dxa"/>
            </w:tcMar>
            <w:vAlign w:val="top"/>
          </w:tcPr>
          <w:p>
            <w:pPr>
              <w:spacing w:before="0" w:after="0" w:line="300" w:lineRule="auto"/>
              <w:ind w:left="260" w:right="0"/>
            </w:pPr>
          </w:p>
        </w:tc>
        <w:tc>
          <w:tcPr>
            <w:tcW w:type="dxa" w:w="6313"/>
            <w:tcBorders>
              <w:bottom w:val="single" w:sz="2" w:space="0" w:color="E5E7EB"/>
            </w:tcBorders>
            <w:tcMar>
              <w:top w:w="90" w:type="dxa"/>
              <w:left w:w="120" w:type="dxa"/>
              <w:bottom w:w="9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Freigabe (DSB / verantwortliche Führungskraft / Recht):</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Formular 4 – Post-Market-Monitoring-Protokoll (Art. 26(6) EU-KI-Gesetz)</w:t>
      </w:r>
    </w:p>
    <w:p>
      <w:pPr>
        <w:spacing w:before="0" w:after="120" w:line="324" w:lineRule="auto"/>
        <w:ind w:left="260" w:right="260"/>
      </w:pPr>
      <w:r>
        <w:rPr>
          <w:rFonts w:ascii="Inter" w:hAnsi="Inter" w:cs="Inter" w:eastAsia="Inter"/>
          <w:b w:val="0"/>
          <w:i w:val="0"/>
          <w:color w:val="35394F"/>
          <w:sz w:val="20"/>
        </w:rPr>
        <w:t>Soweit technisch möglich, müssen Betreiber von Hochrisiko-KI-Systemen Protokolle des Systembetriebs führen. Verwenden Sie dieses Formular, um periodische Überwachungsüberprüfungen zu erfassen.</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ANLEITUNG  </w:t>
            </w:r>
            <w:r>
              <w:rPr>
                <w:rFonts w:ascii="Inter" w:hAnsi="Inter" w:cs="Inter" w:eastAsia="Inter"/>
                <w:b w:val="0"/>
                <w:i w:val="0"/>
                <w:color w:val="35394F"/>
                <w:sz w:val="16"/>
              </w:rPr>
              <w:t>Erfassen Sie, was zugänglich ist – nicht alle Systeme stellen Betriebsprotokolle bereit. Mindestens: Überprüfung der Systemausgaben dokumentieren, beobachtete Anomalien und ob das System weiterhin innerhalb seines bestimmungsgemäßen Zwecks betrieben wird. Häufigkeit: mindestens vierteljährlich für Hochrisikosysteme oder bei wesentlichen Änderungen.</w:t>
            </w:r>
          </w:p>
        </w:tc>
      </w:tr>
    </w:tbl>
    <w:p>
      <w:pPr>
        <w:spacing w:before="0" w:after="0" w:line="12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2483"/>
        <w:gridCol w:w="1449"/>
        <w:gridCol w:w="1370"/>
        <w:gridCol w:w="1370"/>
        <w:gridCol w:w="1592"/>
        <w:gridCol w:w="1601"/>
      </w:tblGrid>
      <w:tr>
        <w:trPr>
          <w:cantSplit w:val="1"/>
          <w:tblHeader w:val="1"/>
        </w:trPr>
        <w:tc>
          <w:tcPr>
            <w:tcW w:type="dxa" w:w="2483"/>
            <w:shd w:val="clear" w:color="auto" w:fill="35394F"/>
            <w:tcMar>
              <w:top w:w="70" w:type="dxa"/>
              <w:left w:w="0" w:type="dxa"/>
              <w:bottom w:w="70" w:type="dxa"/>
              <w:right w:w="120" w:type="dxa"/>
            </w:tcMar>
            <w:vAlign w:val="center"/>
          </w:tcPr>
          <w:p>
            <w:pPr>
              <w:spacing w:before="0" w:after="0" w:line="240" w:lineRule="auto"/>
              <w:ind w:left="260" w:right="0"/>
            </w:pPr>
            <w:r>
              <w:rPr>
                <w:rFonts w:ascii="Inter" w:hAnsi="Inter" w:cs="Inter" w:eastAsia="Inter"/>
                <w:b/>
                <w:i w:val="0"/>
                <w:caps w:val="1"/>
                <w:color w:val="FFFFFF"/>
                <w:spacing w:val="8"/>
                <w:sz w:val="15"/>
              </w:rPr>
              <w:t>Überprüfungsdatum</w:t>
            </w:r>
          </w:p>
        </w:tc>
        <w:tc>
          <w:tcPr>
            <w:tcW w:type="dxa" w:w="1449"/>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Name/Rolle des Prüfers</w:t>
            </w:r>
          </w:p>
        </w:tc>
        <w:tc>
          <w:tcPr>
            <w:tcW w:type="dxa" w:w="1370"/>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System normal betrieben?</w:t>
            </w:r>
          </w:p>
        </w:tc>
        <w:tc>
          <w:tcPr>
            <w:tcW w:type="dxa" w:w="1370"/>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Anomalien / Probleme</w:t>
            </w:r>
          </w:p>
        </w:tc>
        <w:tc>
          <w:tcPr>
            <w:tcW w:type="dxa" w:w="1592"/>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Getroffene Maßnahmen</w:t>
            </w:r>
          </w:p>
        </w:tc>
        <w:tc>
          <w:tcPr>
            <w:tcW w:type="dxa" w:w="1601"/>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Nächste Überprüfung</w:t>
            </w:r>
          </w:p>
        </w:tc>
      </w:tr>
      <w:tr>
        <w:trPr>
          <w:cantSplit w:val="1"/>
        </w:trPr>
        <w:tc>
          <w:tcPr>
            <w:tcW w:type="dxa" w:w="2483"/>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p>
        </w:tc>
        <w:tc>
          <w:tcPr>
            <w:tcW w:type="dxa" w:w="1449"/>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370"/>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370"/>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592"/>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601"/>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r>
      <w:tr>
        <w:trPr>
          <w:cantSplit w:val="1"/>
        </w:trPr>
        <w:tc>
          <w:tcPr>
            <w:tcW w:type="dxa" w:w="2483"/>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p>
        </w:tc>
        <w:tc>
          <w:tcPr>
            <w:tcW w:type="dxa" w:w="1449"/>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370"/>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370"/>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592"/>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601"/>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r>
      <w:tr>
        <w:trPr>
          <w:cantSplit w:val="1"/>
        </w:trPr>
        <w:tc>
          <w:tcPr>
            <w:tcW w:type="dxa" w:w="2483"/>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p>
        </w:tc>
        <w:tc>
          <w:tcPr>
            <w:tcW w:type="dxa" w:w="1449"/>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370"/>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370"/>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592"/>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601"/>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r>
      <w:tr>
        <w:trPr>
          <w:cantSplit w:val="1"/>
        </w:trPr>
        <w:tc>
          <w:tcPr>
            <w:tcW w:type="dxa" w:w="2483"/>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p>
        </w:tc>
        <w:tc>
          <w:tcPr>
            <w:tcW w:type="dxa" w:w="1449"/>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370"/>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370"/>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592"/>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601"/>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r>
      <w:tr>
        <w:trPr>
          <w:cantSplit w:val="1"/>
        </w:trPr>
        <w:tc>
          <w:tcPr>
            <w:tcW w:type="dxa" w:w="2483"/>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p>
        </w:tc>
        <w:tc>
          <w:tcPr>
            <w:tcW w:type="dxa" w:w="1449"/>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370"/>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370"/>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592"/>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c>
          <w:tcPr>
            <w:tcW w:type="dxa" w:w="1601"/>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p>
        </w:tc>
      </w:tr>
      <w:tr>
        <w:trPr>
          <w:cantSplit w:val="1"/>
        </w:trPr>
        <w:tc>
          <w:tcPr>
            <w:tcW w:type="dxa" w:w="2483"/>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p>
        </w:tc>
        <w:tc>
          <w:tcPr>
            <w:tcW w:type="dxa" w:w="1449"/>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370"/>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370"/>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592"/>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c>
          <w:tcPr>
            <w:tcW w:type="dxa" w:w="1601"/>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p>
        </w:tc>
      </w:tr>
    </w:tbl>
    <w:p>
      <w:pPr>
        <w:spacing w:before="0" w:after="0" w:line="16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Formular 5 – Art. 50 Transparenzoffenlegung (EU-KI-Gesetz)</w:t>
      </w:r>
    </w:p>
    <w:p>
      <w:pPr>
        <w:spacing w:before="0" w:after="120" w:line="324" w:lineRule="auto"/>
        <w:ind w:left="260" w:right="260"/>
      </w:pPr>
      <w:r>
        <w:rPr>
          <w:rFonts w:ascii="Inter" w:hAnsi="Inter" w:cs="Inter" w:eastAsia="Inter"/>
          <w:b w:val="0"/>
          <w:i w:val="0"/>
          <w:color w:val="35394F"/>
          <w:sz w:val="20"/>
        </w:rPr>
        <w:t>Art. 50 EU-KI-Gesetz verpflichtet Betreiber, Personen zu informieren, wenn sie mit KI-Systemen interagieren – insbesondere Chatbots, Emotionserkennungssystemen und KI-generierten Inhalten. Verwenden Sie dieses Formular, um Ihre Transparenzoffenlegung zu entwerfen und zu dokumentieren.</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ANLEITUNG  </w:t>
            </w:r>
            <w:r>
              <w:rPr>
                <w:rFonts w:ascii="Inter" w:hAnsi="Inter" w:cs="Inter" w:eastAsia="Inter"/>
                <w:b w:val="0"/>
                <w:i w:val="0"/>
                <w:color w:val="35394F"/>
                <w:sz w:val="16"/>
              </w:rPr>
              <w:t>Sie müssen den Nutzer klar und rechtzeitig informieren – vor oder zum Zeitpunkt der Interaktion. Ausnahme: wenn offensichtlich ist, dass der Nutzer mit KI interagiert (z. B. vollautomatisierte Pipeline ohne menschliche Erwartung). Für KI-generierte Text-/Bild-/Videoinhalte ist auch eine maschinenlesbare Kennzeichnung erforderlich.</w:t>
            </w:r>
          </w:p>
        </w:tc>
      </w:tr>
    </w:tbl>
    <w:p>
      <w:pPr>
        <w:spacing w:before="0" w:after="0" w:line="120" w:lineRule="exact"/>
      </w:pPr>
    </w:p>
    <w:p>
      <w:pPr>
        <w:keepNext w:val="1"/>
        <w:keepLines w:val="1"/>
        <w:spacing w:before="180" w:after="60" w:line="276" w:lineRule="auto"/>
        <w:ind w:left="260" w:right="260"/>
      </w:pPr>
      <w:r>
        <w:rPr>
          <w:rFonts w:ascii="Funnel Display" w:hAnsi="Funnel Display" w:cs="Funnel Display" w:eastAsia="Funnel Display"/>
          <w:b/>
          <w:i w:val="0"/>
          <w:color w:val="35394F"/>
          <w:sz w:val="21"/>
        </w:rPr>
        <w:t>System unter Art. 50</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Systemname:</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Typ:  (Chatbot / Emotionserkennung / synthetische Inhalte / sonstige)</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Verwendungskontext:  (Wo und wie Nutzer auf dieses System treffen)</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Offenlegungsauslöser:  (Wann/wie die Offenlegung angezeigt wird)</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p>
      <w:pPr>
        <w:keepNext w:val="1"/>
        <w:keepLines w:val="1"/>
        <w:spacing w:before="180" w:after="60" w:line="276" w:lineRule="auto"/>
        <w:ind w:left="260" w:right="260"/>
      </w:pPr>
      <w:r>
        <w:rPr>
          <w:rFonts w:ascii="Funnel Display" w:hAnsi="Funnel Display" w:cs="Funnel Display" w:eastAsia="Funnel Display"/>
          <w:b/>
          <w:i w:val="0"/>
          <w:color w:val="35394F"/>
          <w:sz w:val="21"/>
        </w:rPr>
        <w:t>Offenlegungstext (Vorlage – an Ihren Kontext anpassen)</w:t>
      </w:r>
    </w:p>
    <w:p>
      <w:pPr>
        <w:spacing w:before="0" w:after="120" w:line="324" w:lineRule="auto"/>
        <w:ind w:left="260" w:right="260"/>
      </w:pPr>
      <w:r>
        <w:rPr>
          <w:rFonts w:ascii="Inter" w:hAnsi="Inter" w:cs="Inter" w:eastAsia="Inter"/>
          <w:b w:val="0"/>
          <w:i w:val="0"/>
          <w:color w:val="35394F"/>
          <w:sz w:val="20"/>
        </w:rPr>
        <w:t>Nachfolgend ein Vorlagetext für die Offenlegung. Platzhalter ersetzen und an Ihr System anpassen:</w:t>
      </w:r>
    </w:p>
    <w:p>
      <w:pPr>
        <w:spacing w:before="0" w:after="120" w:line="324" w:lineRule="auto"/>
        <w:ind w:left="260" w:right="260"/>
      </w:pPr>
      <w:r>
        <w:rPr>
          <w:rFonts w:ascii="Inter" w:hAnsi="Inter" w:cs="Inter" w:eastAsia="Inter"/>
          <w:b w:val="0"/>
          <w:i w:val="0"/>
          <w:color w:val="35394F"/>
          <w:sz w:val="20"/>
        </w:rPr>
        <w:t xml:space="preserve">"Sie interagieren mit einem KI-Assistenten, der von </w:t>
      </w:r>
      <w:r>
        <w:rPr>
          <w:rFonts w:ascii="Inter" w:hAnsi="Inter" w:cs="Inter" w:eastAsia="Inter"/>
          <w:b/>
          <w:i w:val="0"/>
          <w:color w:val="E34663"/>
          <w:sz w:val="20"/>
        </w:rPr>
        <w:t>[KI-SYSTEMNAME / TECHNOLOGIE]</w:t>
      </w:r>
      <w:r>
        <w:rPr>
          <w:rFonts w:ascii="Inter" w:hAnsi="Inter" w:cs="Inter" w:eastAsia="Inter"/>
          <w:b w:val="0"/>
          <w:i w:val="0"/>
          <w:color w:val="35394F"/>
          <w:sz w:val="20"/>
        </w:rPr>
        <w:t xml:space="preserve"> unterstützt wird. Dieses System liefert automatisierte Antworten basierend auf Ihrer Eingabe. Bei komplexen Anliegen oder Entscheidungen mit erheblichen Auswirkungen wenden Sie sich bitte an einen menschlichen Mitarbeitenden unter </w:t>
      </w:r>
      <w:r>
        <w:rPr>
          <w:rFonts w:ascii="Inter" w:hAnsi="Inter" w:cs="Inter" w:eastAsia="Inter"/>
          <w:b/>
          <w:i w:val="0"/>
          <w:color w:val="E34663"/>
          <w:sz w:val="20"/>
        </w:rPr>
        <w:t>[KONTAKT E-MAIL / TELEFON]</w:t>
      </w:r>
      <w:r>
        <w:rPr>
          <w:rFonts w:ascii="Inter" w:hAnsi="Inter" w:cs="Inter" w:eastAsia="Inter"/>
          <w:b w:val="0"/>
          <w:i w:val="0"/>
          <w:color w:val="35394F"/>
          <w:sz w:val="20"/>
        </w:rPr>
        <w:t>. KI-generierte Antworten ersetzen keine professionelle Beratung."</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ANLEITUNG  </w:t>
            </w:r>
            <w:r>
              <w:rPr>
                <w:rFonts w:ascii="Inter" w:hAnsi="Inter" w:cs="Inter" w:eastAsia="Inter"/>
                <w:b w:val="0"/>
                <w:i w:val="0"/>
                <w:color w:val="35394F"/>
                <w:sz w:val="16"/>
              </w:rPr>
              <w:t>Für Chatbots auf einer Website: Offenlegung als erste Nachricht im Chat-Fenster oder als Label neben dem Chat-Widget anzeigen. Für KI-generierte Marketinginhalte: Label 'Mit KI-Unterstützung erstellt' sichtbar auf/bei dem Inhalt hinzufügen. Dokumentieren Sie, wo und wann die Offenlegung erfolgt – dies ist Ihr Compliance-Nachweis.</w:t>
            </w:r>
          </w:p>
        </w:tc>
      </w:tr>
    </w:tbl>
    <w:p>
      <w:pPr>
        <w:spacing w:before="0" w:after="0" w:line="120" w:lineRule="exact"/>
      </w:pPr>
    </w:p>
    <w:p>
      <w:pPr>
        <w:keepNext w:val="1"/>
        <w:keepLines w:val="1"/>
        <w:spacing w:before="180" w:after="60" w:line="276" w:lineRule="auto"/>
        <w:ind w:left="260" w:right="260"/>
      </w:pPr>
      <w:r>
        <w:rPr>
          <w:rFonts w:ascii="Funnel Display" w:hAnsi="Funnel Display" w:cs="Funnel Display" w:eastAsia="Funnel Display"/>
          <w:b/>
          <w:i w:val="0"/>
          <w:color w:val="35394F"/>
          <w:sz w:val="21"/>
        </w:rPr>
        <w:t>Umsetzungsnachweis der Offenlegung</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Offenlegung umgesetzt am (Datum):</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Umsetzungsmethode:  (z. B. Chat-Eröffnungsnachricht, Website-Banner, Inhalts-Label, E-Mail-Fußzeile)</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Überprüft von:  (Name, Rolle, Datum)</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51"/>
        <w:gridCol w:w="6313"/>
      </w:tblGrid>
      <w:tr>
        <w:trPr>
          <w:cantSplit w:val="1"/>
        </w:trPr>
        <w:tc>
          <w:tcPr>
            <w:tcW w:type="dxa" w:w="3551"/>
            <w:tcBorders>
              <w:bottom w:val="single" w:sz="2" w:space="0" w:color="E5E7EB"/>
            </w:tcBorders>
            <w:shd w:val="clear" w:color="auto" w:fill="F9FAFB"/>
            <w:tcMar>
              <w:top w:w="90" w:type="dxa"/>
              <w:left w:w="0" w:type="dxa"/>
              <w:bottom w:w="90" w:type="dxa"/>
              <w:right w:w="120" w:type="dxa"/>
            </w:tcMar>
            <w:vAlign w:val="top"/>
          </w:tcPr>
          <w:p>
            <w:pPr>
              <w:spacing w:before="0" w:after="0" w:line="300" w:lineRule="auto"/>
              <w:ind w:left="260" w:right="0"/>
            </w:pPr>
            <w:r>
              <w:rPr>
                <w:rFonts w:ascii="Inter" w:hAnsi="Inter" w:cs="Inter" w:eastAsia="Inter"/>
                <w:b/>
                <w:i w:val="0"/>
                <w:color w:val="35394F"/>
                <w:sz w:val="20"/>
              </w:rPr>
              <w:t>Nächste Überprüfung fällig:</w:t>
            </w:r>
          </w:p>
        </w:tc>
        <w:tc>
          <w:tcPr>
            <w:tcW w:type="dxa" w:w="6313"/>
            <w:tcBorders>
              <w:bottom w:val="single" w:sz="4" w:space="0" w:color="6B7280"/>
            </w:tcBorders>
            <w:tcMar>
              <w:top w:w="90" w:type="dxa"/>
              <w:left w:w="120" w:type="dxa"/>
              <w:bottom w:w="90" w:type="dxa"/>
              <w:right w:w="120" w:type="dxa"/>
            </w:tcMar>
            <w:vAlign w:val="top"/>
          </w:tcPr>
          <w:p>
            <w:pPr>
              <w:spacing w:before="0" w:after="0" w:line="300" w:lineRule="auto"/>
            </w:pPr>
          </w:p>
        </w:tc>
      </w:tr>
    </w:tbl>
    <w:p>
      <w:pPr>
        <w:spacing w:before="0" w:after="0" w:line="160" w:lineRule="exact"/>
      </w:pPr>
    </w:p>
    <w:p>
      <w:pPr>
        <w:pBdr>
          <w:top w:val="single" w:sz="4" w:space="0" w:color="E5E7EB"/>
        </w:pBdr>
        <w:spacing w:before="200" w:after="200" w:line="2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865"/>
      </w:tblGrid>
      <w:tr>
        <w:trPr>
          <w:cantSplit w:val="1"/>
        </w:trPr>
        <w:tc>
          <w:tcPr>
            <w:tcW w:type="dxa" w:w="9865"/>
            <w:tcBorders>
              <w:top w:val="single" w:sz="8" w:space="0" w:color="35394F"/>
            </w:tcBorders>
            <w:shd w:val="clear" w:color="auto" w:fill="F9FAFB"/>
            <w:tcMar>
              <w:top w:w="150" w:type="dxa"/>
              <w:left w:w="0" w:type="dxa"/>
              <w:bottom w:w="150" w:type="dxa"/>
              <w:right w:w="0" w:type="dxa"/>
            </w:tcMar>
          </w:tcPr>
          <w:p>
            <w:pPr>
              <w:spacing w:before="0" w:after="0" w:line="312" w:lineRule="auto"/>
              <w:ind w:left="260" w:right="260"/>
            </w:pPr>
            <w:r>
              <w:rPr>
                <w:rFonts w:ascii="Inter" w:hAnsi="Inter" w:cs="Inter" w:eastAsia="Inter"/>
                <w:b w:val="0"/>
                <w:i w:val="0"/>
                <w:color w:val="6B7280"/>
                <w:sz w:val="16"/>
              </w:rPr>
              <w:t>Diese Vorlage dient nur als Orientierung und stellt keine Rechtsberatung dar. Sie basiert auf der Verordnung (EU) 2024/1689 (EU-KI-Gesetz). Geprüft von einem zertifizierten Datenschutzbeauftragten (CIPP/E). Bereitgestellt von ETHYX – ethyx.eu. DSGVO-Höchststrafe: 20 Mio. € / 4 % Umsatz. EU-KI-Gesetz-Höchststrafe: 35 Mio. € / 7 % Umsatz. Hinweis zum Zeitplan (Digital Omnibus, beschlossen Juni 2026): Die Pflichten für eigenständige Hochrisiko-Systeme nach Anhang III, einschließlich der hier dokumentierten Betreiberpflichten aus Art. 26/27, gelten ab dem 2. Dezember 2027 (Anhang-I-Systeme: 2. August 2028). Unverändert: Art. 4 AI Literacy (in Kraft seit 2. Februar 2025) und Art. 50 Transparenz (ab 2. August 2026). Diese Dokumentation früh aufzubauen bleibt der empfohlene Weg - die Pflichten sind verschoben, nicht gestrichen. Dieses Dokument vor der Verwendung von einem qualifizierten Datenschutzbeauftragten oder Rechtsanwalt prüfen lassen. Version 1.1 · Juli 2026.</w:t>
            </w:r>
          </w:p>
        </w:tc>
      </w:tr>
    </w:tbl>
    <w:sectPr w:rsidR="00FC693F" w:rsidRPr="0006063C" w:rsidSect="00034616">
      <w:footerReference w:type="default" r:id="rId11"/>
      <w:pgSz w:w="11906" w:h="16838"/>
      <w:pgMar w:top="794" w:right="1020" w:bottom="850" w:left="1020" w:header="454"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Inter">
    <w:altName w:val="Arial"/>
    <w:embedRegular r:id="rId1" w:fontKey="{451585E7-D129-4C39-A3C8-BACBCEE88722}"/>
    <w:embedBold r:id="rId2" w:fontKey="{3709F51F-C659-4CC4-B8F3-96BD18313E36}"/>
  </w:font>
  <w:font w:name="Funnel Display">
    <w:altName w:val="Arial"/>
    <w:embedBold r:id="rId3" w:fontKey="{E5D04640-5BF2-4D63-AB30-BF2C41991074}"/>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line="20" w:lineRule="exact"/>
    </w:pPr>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371"/>
      <w:gridCol w:w="493"/>
    </w:tblGrid>
    <w:tr>
      <w:tc>
        <w:tcPr>
          <w:tcW w:type="dxa" w:w="9371"/>
          <w:tcBorders>
            <w:top w:val="single" w:sz="4" w:space="0" w:color="E5E7EB"/>
          </w:tcBorders>
          <w:tcMar>
            <w:top w:w="110" w:type="dxa"/>
            <w:left w:w="0" w:type="dxa"/>
            <w:bottom w:w="0" w:type="dxa"/>
            <w:right w:w="0" w:type="dxa"/>
          </w:tcMar>
        </w:tcPr>
        <w:p>
          <w:pPr>
            <w:spacing w:before="0" w:after="0" w:line="240" w:lineRule="auto"/>
          </w:pPr>
          <w:r>
            <w:rPr>
              <w:rFonts w:ascii="Inter" w:hAnsi="Inter" w:cs="Inter" w:eastAsia="Inter"/>
              <w:b w:val="0"/>
              <w:i w:val="0"/>
              <w:color w:val="6B7280"/>
              <w:sz w:val="14"/>
            </w:rPr>
            <w:t>Betreiber-Dokumentationspaket · Geprüft von einem zertifizierten Datenschutzbeauftragten (CIPP/E) · Bereitgestellt von ETHYX (</w:t>
          </w:r>
          <w:hyperlink r:id="rId1">
            <w:r>
              <w:rPr>
                <w:rFonts w:ascii="Inter" w:hAnsi="Inter" w:cs="Inter" w:eastAsia="Inter"/>
                <w:b w:val="0"/>
                <w:i w:val="0"/>
                <w:color w:val="6B7280"/>
                <w:sz w:val="14"/>
              </w:rPr>
              <w:t>ethyx.eu</w:t>
            </w:r>
          </w:hyperlink>
          <w:r>
            <w:rPr>
              <w:rFonts w:ascii="Inter" w:hAnsi="Inter" w:cs="Inter" w:eastAsia="Inter"/>
              <w:b w:val="0"/>
              <w:i w:val="0"/>
              <w:color w:val="6B7280"/>
              <w:sz w:val="14"/>
            </w:rPr>
            <w:t>) · Nur zur Orientierung – keine Rechtsberatung</w:t>
          </w:r>
        </w:p>
      </w:tc>
      <w:tc>
        <w:tcPr>
          <w:tcW w:type="dxa" w:w="493"/>
          <w:tcBorders>
            <w:top w:val="single" w:sz="4" w:space="0" w:color="E5E7EB"/>
          </w:tcBorders>
          <w:tcMar>
            <w:top w:w="110" w:type="dxa"/>
            <w:left w:w="0" w:type="dxa"/>
            <w:bottom w:w="0" w:type="dxa"/>
            <w:right w:w="260" w:type="dxa"/>
          </w:tcMar>
        </w:tcPr>
        <w:p>
          <w:pPr>
            <w:spacing w:before="0" w:after="0" w:line="240" w:lineRule="auto"/>
            <w:jc w:val="right"/>
            <w:rPr>
              <w:rFonts w:ascii="Inter" w:hAnsi="Inter" w:cs="Inter" w:eastAsia="Inter"/>
              <w:b w:val="0"/>
              <w:i w:val="0"/>
              <w:color w:val="6B7280"/>
              <w:sz w:val="14"/>
            </w:rPr>
          </w:pPr>
          <w:r>
            <w:rPr>
              <w:rFonts w:ascii="Inter" w:hAnsi="Inter" w:cs="Inter" w:eastAsia="Inter"/>
              <w:b w:val="0"/>
              <w:i w:val="0"/>
              <w:color w:val="6B7280"/>
              <w:sz w:val="14"/>
            </w:rPr>
            <w:fldChar w:fldCharType="begin"/>
          </w:r>
          <w:r>
            <w:rPr>
              <w:rFonts w:ascii="Inter" w:hAnsi="Inter" w:cs="Inter" w:eastAsia="Inter"/>
              <w:b w:val="0"/>
              <w:i w:val="0"/>
              <w:color w:val="6B7280"/>
              <w:sz w:val="14"/>
            </w:rPr>
            <w:instrText xml:space="preserve"> PAGE </w:instrText>
          </w:r>
          <w:r>
            <w:rPr>
              <w:rFonts w:ascii="Inter" w:hAnsi="Inter" w:cs="Inter" w:eastAsia="Inter"/>
              <w:b w:val="0"/>
              <w:i w:val="0"/>
              <w:color w:val="6B7280"/>
              <w:sz w:val="14"/>
            </w:rPr>
            <w:fldChar w:fldCharType="separate"/>
          </w:r>
          <w:r>
            <w:rPr>
              <w:rFonts w:ascii="Inter" w:hAnsi="Inter" w:cs="Inter" w:eastAsia="Inter"/>
              <w:b w:val="0"/>
              <w:i w:val="0"/>
              <w:color w:val="6B7280"/>
              <w:sz w:val="14"/>
            </w:rPr>
            <w:t/>
          </w:r>
          <w:r>
            <w:rPr>
              <w:rFonts w:ascii="Inter" w:hAnsi="Inter" w:cs="Inter" w:eastAsia="Inter"/>
              <w:b w:val="0"/>
              <w:i w:val="0"/>
              <w:color w:val="6B7280"/>
              <w:sz w:val="14"/>
            </w:rPr>
            <w:fldChar w:fldCharType="end"/>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embedTrueTypeFonts w:val="true"/>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300" w:lineRule="auto"/>
    </w:pPr>
    <w:rPr>
      <w:rFonts w:ascii="Inter" w:hAnsi="Inter" w:cs="Inter" w:eastAsia="Inter"/>
      <w:color w:val="35394F"/>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ethyx.eu/?utm_source=gated-asset&amp;utm_medium=document&amp;utm_campaign=betreiber-dokumentationspaket-de" TargetMode="External"/><Relationship Id="rId11"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font1.fntdata"/><Relationship Id="rId2" Type="http://schemas.openxmlformats.org/officeDocument/2006/relationships/font" Target="fonts/font2.fntdata"/><Relationship Id="rId3" Type="http://schemas.openxmlformats.org/officeDocument/2006/relationships/font" Target="fonts/font3.fntdata"/></Relationships>
</file>

<file path=word/_rels/footer1.xml.rels><?xml version='1.0' encoding='UTF-8' standalone='yes'?>
<Relationships xmlns="http://schemas.openxmlformats.org/package/2006/relationships"><Relationship Id="rId1" Type="http://schemas.openxmlformats.org/officeDocument/2006/relationships/hyperlink" Target="https://ethyx.eu/?utm_source=gated-asset&amp;utm_medium=document&amp;utm_campaign=betreiber-dokumentationspaket-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Betreiber-Dokumentationspaket</dc:title>
  <dc:subject/>
  <dc:creator>ETHYX</dc:creator>
  <cp:keywords/>
  <dc:description>Rechtlich geprüft von einem zertifizierten Datenschutzbeauftragten (CIPP/E) · Bereitgestellt von ETHYX · Version 1.1 · Juli 2026</dc:description>
  <cp:lastModifiedBy/>
  <cp:revision>1</cp:revision>
  <dcterms:created xsi:type="dcterms:W3CDTF">2013-12-23T23:15:00Z</dcterms:created>
  <dcterms:modified xsi:type="dcterms:W3CDTF">2013-12-23T23:15:00Z</dcterms:modified>
  <cp:category/>
</cp:coreProperties>
</file>